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7AB3ED4" w:rsidRDefault="37AB3ED4" w14:paraId="1A33A14C" w14:textId="030AC630"/>
    <w:tbl>
      <w:tblPr>
        <w:tblStyle w:val="TableGrid"/>
        <w:tblpPr w:leftFromText="180" w:rightFromText="180" w:vertAnchor="text" w:tblpY="277"/>
        <w:tblW w:w="9350" w:type="dxa"/>
        <w:tblLook w:val="04A0" w:firstRow="1" w:lastRow="0" w:firstColumn="1" w:lastColumn="0" w:noHBand="0" w:noVBand="1"/>
      </w:tblPr>
      <w:tblGrid>
        <w:gridCol w:w="1075"/>
        <w:gridCol w:w="2820"/>
        <w:gridCol w:w="5455"/>
      </w:tblGrid>
      <w:tr w:rsidR="00BA5CA5" w:rsidTr="559A889B" w14:paraId="75A41BC2" w14:textId="77777777">
        <w:tc>
          <w:tcPr>
            <w:tcW w:w="1075" w:type="dxa"/>
            <w:tcMar/>
          </w:tcPr>
          <w:p w:rsidR="00BA5CA5" w:rsidP="00BA5CA5" w:rsidRDefault="00BA5CA5" w14:paraId="17440FAE" w14:textId="5A312C54">
            <w:r w:rsidR="00BA5CA5">
              <w:rPr/>
              <w:t>CMP Sectio</w:t>
            </w:r>
            <w:r w:rsidR="60478C69">
              <w:rPr/>
              <w:t>n</w:t>
            </w:r>
          </w:p>
        </w:tc>
        <w:tc>
          <w:tcPr>
            <w:tcW w:w="2820" w:type="dxa"/>
            <w:tcMar/>
          </w:tcPr>
          <w:p w:rsidR="00BA5CA5" w:rsidP="00BA5CA5" w:rsidRDefault="00BA5CA5" w14:paraId="291A5291" w14:textId="77777777">
            <w:r>
              <w:t>Emergency Management Phase</w:t>
            </w:r>
          </w:p>
        </w:tc>
        <w:tc>
          <w:tcPr>
            <w:tcW w:w="5455" w:type="dxa"/>
            <w:tcMar/>
          </w:tcPr>
          <w:p w:rsidR="00BA5CA5" w:rsidP="00BA5CA5" w:rsidRDefault="00BA5CA5" w14:paraId="71DE3BAC" w14:textId="77777777">
            <w:r>
              <w:t>Phase Characteristics</w:t>
            </w:r>
          </w:p>
        </w:tc>
      </w:tr>
      <w:tr w:rsidR="00BA5CA5" w:rsidTr="559A889B" w14:paraId="472D97CE" w14:textId="77777777">
        <w:tc>
          <w:tcPr>
            <w:tcW w:w="1075" w:type="dxa"/>
            <w:vMerge w:val="restart"/>
            <w:tcMar/>
            <w:textDirection w:val="btLr"/>
            <w:vAlign w:val="center"/>
          </w:tcPr>
          <w:p w:rsidR="00BA5CA5" w:rsidP="00BA5CA5" w:rsidRDefault="00BA5CA5" w14:paraId="33C9DF6F" w14:textId="77777777">
            <w:pPr>
              <w:ind w:left="113" w:right="113"/>
              <w:jc w:val="center"/>
            </w:pPr>
            <w:r>
              <w:t>BEFORE</w:t>
            </w:r>
          </w:p>
        </w:tc>
        <w:tc>
          <w:tcPr>
            <w:tcW w:w="2820" w:type="dxa"/>
            <w:tcMar/>
          </w:tcPr>
          <w:p w:rsidR="00BA5CA5" w:rsidP="37AB3ED4" w:rsidRDefault="00BA5CA5" w14:paraId="628D65D6" w14:textId="77777777" w14:noSpellErr="1">
            <w:pPr>
              <w:rPr>
                <w:b w:val="1"/>
                <w:bCs w:val="1"/>
              </w:rPr>
            </w:pPr>
            <w:r w:rsidRPr="37AB3ED4" w:rsidR="00BA5CA5">
              <w:rPr>
                <w:b w:val="1"/>
                <w:bCs w:val="1"/>
              </w:rPr>
              <w:t>Prevention</w:t>
            </w:r>
          </w:p>
        </w:tc>
        <w:tc>
          <w:tcPr>
            <w:tcW w:w="5455" w:type="dxa"/>
            <w:tcMar/>
          </w:tcPr>
          <w:p w:rsidR="00BA5CA5" w:rsidP="559A889B" w:rsidRDefault="00BA5CA5" w14:paraId="6588ABA4" w14:textId="2A9326F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559A889B" w:rsidR="1DE8F4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Prevention refers to actions taken to avoid an incident or to intervene to stop an incident from occurring.</w:t>
            </w:r>
          </w:p>
        </w:tc>
      </w:tr>
      <w:tr w:rsidR="00BA5CA5" w:rsidTr="559A889B" w14:paraId="4A62DF24" w14:textId="77777777">
        <w:tc>
          <w:tcPr>
            <w:tcW w:w="1075" w:type="dxa"/>
            <w:vMerge/>
            <w:tcMar/>
          </w:tcPr>
          <w:p w:rsidR="00BA5CA5" w:rsidP="00BA5CA5" w:rsidRDefault="00BA5CA5" w14:paraId="3B25A2E3" w14:textId="77777777"/>
        </w:tc>
        <w:tc>
          <w:tcPr>
            <w:tcW w:w="2820" w:type="dxa"/>
            <w:tcMar/>
          </w:tcPr>
          <w:p w:rsidR="00BA5CA5" w:rsidP="37AB3ED4" w:rsidRDefault="00BA5CA5" w14:paraId="2DE6AB45" w14:textId="77777777" w14:noSpellErr="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1"/>
                <w:bCs w:val="1"/>
              </w:rPr>
            </w:pPr>
            <w:r w:rsidRPr="37AB3ED4" w:rsidR="00BA5CA5">
              <w:rPr>
                <w:b w:val="1"/>
                <w:bCs w:val="1"/>
              </w:rPr>
              <w:t>Mitigation</w:t>
            </w:r>
          </w:p>
        </w:tc>
        <w:tc>
          <w:tcPr>
            <w:tcW w:w="5455" w:type="dxa"/>
            <w:tcMar/>
          </w:tcPr>
          <w:p w:rsidR="00BA5CA5" w:rsidP="559A889B" w:rsidRDefault="00BA5CA5" w14:paraId="05453084" w14:textId="1041170A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559A889B" w:rsidR="273431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refers to the sustained activities to reduce the loss of life and property by avoiding or lessening the impact of an unavoidable disaster</w:t>
            </w:r>
            <w:r w:rsidRPr="559A889B" w:rsidR="5F0F11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.</w:t>
            </w:r>
          </w:p>
        </w:tc>
      </w:tr>
      <w:tr w:rsidR="00BA5CA5" w:rsidTr="559A889B" w14:paraId="5D85CCFC" w14:textId="77777777">
        <w:tc>
          <w:tcPr>
            <w:tcW w:w="1075" w:type="dxa"/>
            <w:vMerge/>
            <w:tcMar/>
          </w:tcPr>
          <w:p w:rsidR="00BA5CA5" w:rsidP="00BA5CA5" w:rsidRDefault="00BA5CA5" w14:paraId="4E1741D7" w14:textId="77777777"/>
        </w:tc>
        <w:tc>
          <w:tcPr>
            <w:tcW w:w="2820" w:type="dxa"/>
            <w:tcMar/>
          </w:tcPr>
          <w:p w:rsidR="00BA5CA5" w:rsidP="00BA5CA5" w:rsidRDefault="00BA5CA5" w14:paraId="6D45C62B" w14:textId="77777777">
            <w:r>
              <w:t>Protection</w:t>
            </w:r>
          </w:p>
        </w:tc>
        <w:tc>
          <w:tcPr>
            <w:tcW w:w="5455" w:type="dxa"/>
            <w:tcMar/>
          </w:tcPr>
          <w:p w:rsidR="00BA5CA5" w:rsidP="559A889B" w:rsidRDefault="00BA5CA5" w14:paraId="28D0637F" w14:textId="135810C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391207C3">
              <w:rPr/>
              <w:t>Refers to a</w:t>
            </w:r>
            <w:r w:rsidRPr="559A889B" w:rsidR="391207C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ctions to ensure that all stakeholders can respond in a rapid, coordinated, and effective manner to help save lives and minimize damage</w:t>
            </w:r>
            <w:r w:rsidRPr="559A889B" w:rsidR="75B01CB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  <w:r w:rsidRPr="559A889B" w:rsidR="391207C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 </w:t>
            </w:r>
          </w:p>
        </w:tc>
      </w:tr>
      <w:tr w:rsidR="00BA5CA5" w:rsidTr="559A889B" w14:paraId="3CA34DB5" w14:textId="77777777">
        <w:tc>
          <w:tcPr>
            <w:tcW w:w="1075" w:type="dxa"/>
            <w:vMerge/>
            <w:tcMar/>
          </w:tcPr>
          <w:p w:rsidR="00BA5CA5" w:rsidP="00BA5CA5" w:rsidRDefault="00BA5CA5" w14:paraId="7115D52E" w14:textId="77777777"/>
        </w:tc>
        <w:tc>
          <w:tcPr>
            <w:tcW w:w="2820" w:type="dxa"/>
            <w:tcMar/>
          </w:tcPr>
          <w:p w:rsidR="00BA5CA5" w:rsidP="00BA5CA5" w:rsidRDefault="00BA5CA5" w14:paraId="6DA04CA8" w14:textId="77777777">
            <w:r>
              <w:t>Preparedness</w:t>
            </w:r>
          </w:p>
        </w:tc>
        <w:tc>
          <w:tcPr>
            <w:tcW w:w="5455" w:type="dxa"/>
            <w:tcMar/>
          </w:tcPr>
          <w:p w:rsidR="00BA5CA5" w:rsidP="559A889B" w:rsidRDefault="00BA5CA5" w14:paraId="39A9A81E" w14:textId="1A8E6AEB">
            <w:pPr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559A889B" w:rsidR="6CD6B2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Refers to actions to ensure that all stakeholders can respond in a rapid, coordinated, and effective manner to help save lives and minimize damage</w:t>
            </w:r>
            <w:r w:rsidRPr="559A889B" w:rsidR="15646D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.</w:t>
            </w:r>
            <w:r w:rsidRPr="559A889B" w:rsidR="6CD6B2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  </w:t>
            </w:r>
          </w:p>
        </w:tc>
      </w:tr>
      <w:tr w:rsidR="00BA5CA5" w:rsidTr="559A889B" w14:paraId="782CA445" w14:textId="77777777">
        <w:trPr>
          <w:cantSplit/>
          <w:trHeight w:val="1134"/>
        </w:trPr>
        <w:tc>
          <w:tcPr>
            <w:tcW w:w="1075" w:type="dxa"/>
            <w:tcMar/>
            <w:textDirection w:val="btLr"/>
            <w:vAlign w:val="center"/>
          </w:tcPr>
          <w:p w:rsidRPr="003708EC" w:rsidR="00BA5CA5" w:rsidP="00BA5CA5" w:rsidRDefault="00BA5CA5" w14:paraId="5FE8E52E" w14:textId="77777777">
            <w:pPr>
              <w:ind w:left="113" w:right="113"/>
              <w:jc w:val="center"/>
            </w:pPr>
            <w:r>
              <w:t>DURING</w:t>
            </w:r>
          </w:p>
        </w:tc>
        <w:tc>
          <w:tcPr>
            <w:tcW w:w="2820" w:type="dxa"/>
            <w:tcMar/>
          </w:tcPr>
          <w:p w:rsidR="00BA5CA5" w:rsidP="00BA5CA5" w:rsidRDefault="00BA5CA5" w14:paraId="04ACFA0B" w14:textId="77777777">
            <w:r>
              <w:t>Response</w:t>
            </w:r>
          </w:p>
        </w:tc>
        <w:tc>
          <w:tcPr>
            <w:tcW w:w="5455" w:type="dxa"/>
            <w:tcMar/>
          </w:tcPr>
          <w:p w:rsidRPr="00444C55" w:rsidR="00BA5CA5" w:rsidP="559A889B" w:rsidRDefault="00BA5CA5" w14:paraId="7B0133C9" w14:textId="11F5049D">
            <w:pPr>
              <w:rPr>
                <w:rFonts w:ascii="Arial" w:hAnsi="Arial" w:eastAsia="Arial" w:cs="Arial"/>
                <w:b w:val="0"/>
                <w:bCs w:val="0"/>
                <w:color w:val="auto"/>
              </w:rPr>
            </w:pPr>
            <w:r w:rsidRPr="559A889B" w:rsidR="31E91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Refers </w:t>
            </w:r>
            <w:r w:rsidRPr="559A889B" w:rsidR="1475D8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to the necessary a</w:t>
            </w:r>
            <w:r w:rsidRPr="559A889B" w:rsidR="75951CF8">
              <w:rPr>
                <w:rFonts w:ascii="Arial" w:hAnsi="Arial" w:eastAsia="Arial" w:cs="Arial"/>
                <w:b w:val="0"/>
                <w:bCs w:val="0"/>
                <w:color w:val="auto"/>
              </w:rPr>
              <w:t>cti</w:t>
            </w:r>
            <w:r w:rsidRPr="559A889B" w:rsidR="7D7497E5">
              <w:rPr>
                <w:rFonts w:ascii="Arial" w:hAnsi="Arial" w:eastAsia="Arial" w:cs="Arial"/>
                <w:b w:val="0"/>
                <w:bCs w:val="0"/>
                <w:color w:val="auto"/>
              </w:rPr>
              <w:t>ons</w:t>
            </w:r>
            <w:r w:rsidRPr="559A889B" w:rsidR="75951CF8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 </w:t>
            </w:r>
            <w:r w:rsidRPr="559A889B" w:rsidR="289F53D1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to </w:t>
            </w:r>
            <w:r w:rsidRPr="559A889B" w:rsidR="51EC3CD2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swiftly </w:t>
            </w:r>
            <w:r w:rsidRPr="559A889B" w:rsidR="75951CF8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address the short-term, direct </w:t>
            </w:r>
            <w:r w:rsidRPr="559A889B" w:rsidR="62656C74">
              <w:rPr>
                <w:rFonts w:ascii="Arial" w:hAnsi="Arial" w:eastAsia="Arial" w:cs="Arial"/>
                <w:b w:val="0"/>
                <w:bCs w:val="0"/>
                <w:color w:val="auto"/>
              </w:rPr>
              <w:t>impa</w:t>
            </w:r>
            <w:r w:rsidRPr="559A889B" w:rsidR="75951CF8">
              <w:rPr>
                <w:rFonts w:ascii="Arial" w:hAnsi="Arial" w:eastAsia="Arial" w:cs="Arial"/>
                <w:b w:val="0"/>
                <w:bCs w:val="0"/>
                <w:color w:val="auto"/>
              </w:rPr>
              <w:t>cts of the incident. These efforts are designed to reduce the likelihood of secondary loss or damage and to</w:t>
            </w:r>
            <w:r w:rsidRPr="559A889B" w:rsidR="75951CF8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 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save lives and property, 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establish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 safe and secure </w:t>
            </w:r>
            <w:r w:rsidRPr="559A889B" w:rsidR="3206BF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environment, and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facilitate</w:t>
            </w:r>
            <w:r w:rsidRPr="559A889B" w:rsidR="6D320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the transition to recovery.</w:t>
            </w:r>
          </w:p>
        </w:tc>
      </w:tr>
      <w:tr w:rsidR="00BA5CA5" w:rsidTr="559A889B" w14:paraId="3485CCBC" w14:textId="77777777">
        <w:trPr>
          <w:cantSplit/>
          <w:trHeight w:val="1134"/>
        </w:trPr>
        <w:tc>
          <w:tcPr>
            <w:tcW w:w="1075" w:type="dxa"/>
            <w:tcMar/>
            <w:textDirection w:val="btLr"/>
            <w:vAlign w:val="center"/>
          </w:tcPr>
          <w:p w:rsidR="00BA5CA5" w:rsidP="00BA5CA5" w:rsidRDefault="00BA5CA5" w14:paraId="63A6EDD0" w14:textId="77777777">
            <w:pPr>
              <w:ind w:left="113" w:right="113"/>
              <w:jc w:val="center"/>
            </w:pPr>
            <w:r>
              <w:t>AFTER</w:t>
            </w:r>
          </w:p>
        </w:tc>
        <w:tc>
          <w:tcPr>
            <w:tcW w:w="2820" w:type="dxa"/>
            <w:tcMar/>
          </w:tcPr>
          <w:p w:rsidR="00BA5CA5" w:rsidP="00BA5CA5" w:rsidRDefault="00BA5CA5" w14:paraId="15FE436B" w14:textId="77777777">
            <w:r>
              <w:t>Recovery</w:t>
            </w:r>
          </w:p>
        </w:tc>
        <w:tc>
          <w:tcPr>
            <w:tcW w:w="5455" w:type="dxa"/>
            <w:tcMar/>
          </w:tcPr>
          <w:p w:rsidR="00BA5CA5" w:rsidP="00BA5CA5" w:rsidRDefault="00BA5CA5" w14:paraId="566D2734" w14:textId="798F1492">
            <w:r w:rsidR="1858AB19">
              <w:rPr/>
              <w:t>Refers to the</w:t>
            </w:r>
            <w:r w:rsidR="75951CF8">
              <w:rPr/>
              <w:t xml:space="preserve"> ongoing process that includes not only the mental, emotional, and physical healing process of students, faculty, and staff, but also a </w:t>
            </w:r>
            <w:r w:rsidR="0952D1B4">
              <w:rPr/>
              <w:t>restoration of</w:t>
            </w:r>
            <w:r w:rsidR="2D382E4C">
              <w:rPr/>
              <w:t xml:space="preserve"> </w:t>
            </w:r>
            <w:r w:rsidR="6BAEE469">
              <w:rPr/>
              <w:t xml:space="preserve">a school’s </w:t>
            </w:r>
            <w:r w:rsidR="75951CF8">
              <w:rPr/>
              <w:t>physical (buildings and grounds), fiscal (daily business operations), and academic (return to classroom learning)</w:t>
            </w:r>
            <w:r w:rsidR="2A3A30C4">
              <w:rPr/>
              <w:t xml:space="preserve"> operations</w:t>
            </w:r>
            <w:r w:rsidR="7B98B5E9">
              <w:rPr/>
              <w:t>.</w:t>
            </w:r>
            <w:bookmarkStart w:name="_heading=h.1nia2ey" w:id="0"/>
            <w:bookmarkStart w:name="_heading=h.2mn7vak" w:id="1"/>
            <w:bookmarkEnd w:id="0"/>
            <w:bookmarkEnd w:id="1"/>
          </w:p>
        </w:tc>
      </w:tr>
    </w:tbl>
    <w:p w:rsidRPr="00170D80" w:rsidR="00251362" w:rsidP="003708EC" w:rsidRDefault="00251362" w14:paraId="03915E3C" w14:textId="107E46B3">
      <w:pPr>
        <w:rPr>
          <w:b/>
          <w:bCs/>
          <w:sz w:val="36"/>
          <w:szCs w:val="36"/>
        </w:rPr>
      </w:pPr>
    </w:p>
    <w:p w:rsidR="00251362" w:rsidP="003708EC" w:rsidRDefault="00251362" w14:paraId="5541BE40" w14:textId="77777777"/>
    <w:sectPr w:rsidR="00251362" w:rsidSect="00BA5CA5">
      <w:headerReference w:type="default" r:id="rId7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2CB" w:rsidP="00170D80" w:rsidRDefault="006C62CB" w14:paraId="35B72349" w14:textId="77777777">
      <w:pPr>
        <w:spacing w:after="0" w:line="240" w:lineRule="auto"/>
      </w:pPr>
      <w:r>
        <w:separator/>
      </w:r>
    </w:p>
  </w:endnote>
  <w:endnote w:type="continuationSeparator" w:id="0">
    <w:p w:rsidR="006C62CB" w:rsidP="00170D80" w:rsidRDefault="006C62CB" w14:paraId="77D2A9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2CB" w:rsidP="00170D80" w:rsidRDefault="006C62CB" w14:paraId="49087652" w14:textId="77777777">
      <w:pPr>
        <w:spacing w:after="0" w:line="240" w:lineRule="auto"/>
      </w:pPr>
      <w:r>
        <w:separator/>
      </w:r>
    </w:p>
  </w:footnote>
  <w:footnote w:type="continuationSeparator" w:id="0">
    <w:p w:rsidR="006C62CB" w:rsidP="00170D80" w:rsidRDefault="006C62CB" w14:paraId="516BD5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BA5CA5" w:rsidP="00BA5CA5" w:rsidRDefault="00BA5CA5" w14:paraId="10880592" w14:textId="4D4A6F7B">
    <w:pPr>
      <w:spacing w:after="0" w:line="240" w:lineRule="auto"/>
      <w:rPr>
        <w:b/>
        <w:bCs/>
        <w:color w:val="FFFFFF" w:themeColor="background1"/>
        <w:szCs w:val="26"/>
      </w:rPr>
    </w:pPr>
    <w:r w:rsidRPr="00C95BBD">
      <w:rPr>
        <w:noProof/>
        <w:color w:val="FFFFFF" w:themeColor="background1"/>
        <w:szCs w:val="26"/>
      </w:rPr>
      <w:drawing>
        <wp:anchor distT="0" distB="0" distL="114300" distR="114300" simplePos="0" relativeHeight="251660288" behindDoc="0" locked="0" layoutInCell="1" allowOverlap="1" wp14:anchorId="51AC1B36" wp14:editId="4559A121">
          <wp:simplePos x="0" y="0"/>
          <wp:positionH relativeFrom="column">
            <wp:posOffset>-798195</wp:posOffset>
          </wp:positionH>
          <wp:positionV relativeFrom="paragraph">
            <wp:posOffset>-155388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 w:rsidR="00170D80">
      <w:rPr>
        <w:noProof/>
        <w:color w:val="FFFFFF" w:themeColor="background1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63A91F" wp14:editId="305BED51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3741F5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C95BBD" w:rsidR="00170D80">
      <w:rPr>
        <w:b/>
        <w:bCs/>
        <w:color w:val="FFFFFF" w:themeColor="background1"/>
        <w:szCs w:val="26"/>
      </w:rPr>
      <w:t>School Crisis, Emergency Management, and Medical Emergency Response Plan</w:t>
    </w:r>
  </w:p>
  <w:p w:rsidRPr="002D6DE8" w:rsidR="00BA5CA5" w:rsidP="00BA5CA5" w:rsidRDefault="00BA5CA5" w14:paraId="0E41B8FA" w14:textId="45C7791E">
    <w:pPr>
      <w:spacing w:after="0" w:line="240" w:lineRule="auto"/>
      <w:rPr>
        <w:b/>
        <w:bCs/>
        <w:color w:val="FFFFFF" w:themeColor="background1"/>
        <w:szCs w:val="26"/>
      </w:rPr>
    </w:pPr>
    <w:r>
      <w:rPr>
        <w:b/>
        <w:bCs/>
        <w:color w:val="FFFFFF" w:themeColor="background1"/>
        <w:szCs w:val="26"/>
      </w:rPr>
      <w:t>Phases of Emergency Management</w:t>
    </w:r>
  </w:p>
  <w:p w:rsidRPr="00170D80" w:rsidR="00170D80" w:rsidP="00170D80" w:rsidRDefault="00170D80" w14:paraId="7876C2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91"/>
    <w:rsid w:val="000B1751"/>
    <w:rsid w:val="00153362"/>
    <w:rsid w:val="00170D80"/>
    <w:rsid w:val="00182F0D"/>
    <w:rsid w:val="001E3917"/>
    <w:rsid w:val="001E3BDB"/>
    <w:rsid w:val="001F7176"/>
    <w:rsid w:val="001F799A"/>
    <w:rsid w:val="00251362"/>
    <w:rsid w:val="003708EC"/>
    <w:rsid w:val="004D0DA6"/>
    <w:rsid w:val="00565FB5"/>
    <w:rsid w:val="00594CF2"/>
    <w:rsid w:val="00627732"/>
    <w:rsid w:val="006C62CB"/>
    <w:rsid w:val="008474C2"/>
    <w:rsid w:val="00937853"/>
    <w:rsid w:val="00993251"/>
    <w:rsid w:val="00AA2521"/>
    <w:rsid w:val="00B61758"/>
    <w:rsid w:val="00BA5CA5"/>
    <w:rsid w:val="00C973A8"/>
    <w:rsid w:val="00CC4D93"/>
    <w:rsid w:val="00D55A91"/>
    <w:rsid w:val="00FF2D2A"/>
    <w:rsid w:val="0952D1B4"/>
    <w:rsid w:val="0F33F1A0"/>
    <w:rsid w:val="1475D8E7"/>
    <w:rsid w:val="15646DC0"/>
    <w:rsid w:val="1858AB19"/>
    <w:rsid w:val="18BD6976"/>
    <w:rsid w:val="1DE8F420"/>
    <w:rsid w:val="1EFD4937"/>
    <w:rsid w:val="20DBEEC0"/>
    <w:rsid w:val="23C7B0C2"/>
    <w:rsid w:val="2567E572"/>
    <w:rsid w:val="2734312A"/>
    <w:rsid w:val="289F53D1"/>
    <w:rsid w:val="29494A06"/>
    <w:rsid w:val="2A3A30C4"/>
    <w:rsid w:val="2D382E4C"/>
    <w:rsid w:val="31E91823"/>
    <w:rsid w:val="3206BFC7"/>
    <w:rsid w:val="36480477"/>
    <w:rsid w:val="37AB3ED4"/>
    <w:rsid w:val="37B9F19B"/>
    <w:rsid w:val="391207C3"/>
    <w:rsid w:val="3ECC3136"/>
    <w:rsid w:val="3EF0C448"/>
    <w:rsid w:val="51ADABCC"/>
    <w:rsid w:val="51EC3CD2"/>
    <w:rsid w:val="559A889B"/>
    <w:rsid w:val="55F4E3C8"/>
    <w:rsid w:val="5CE9C7A2"/>
    <w:rsid w:val="5F0F11F7"/>
    <w:rsid w:val="60478C69"/>
    <w:rsid w:val="62656C74"/>
    <w:rsid w:val="63D41243"/>
    <w:rsid w:val="67FDEE8A"/>
    <w:rsid w:val="6BAEE469"/>
    <w:rsid w:val="6CD6B2D3"/>
    <w:rsid w:val="6D320451"/>
    <w:rsid w:val="75951CF8"/>
    <w:rsid w:val="75B01CB9"/>
    <w:rsid w:val="7B98B5E9"/>
    <w:rsid w:val="7D749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0ECEF"/>
  <w15:chartTrackingRefBased/>
  <w15:docId w15:val="{60E2ACEB-4F40-7D49-A532-87916FD7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D2A"/>
    <w:pPr>
      <w:spacing w:after="200" w:line="276" w:lineRule="auto"/>
    </w:pPr>
    <w:rPr>
      <w:rFonts w:ascii="Arial" w:hAnsi="Arial" w:cs="Times New Roman"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after="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ind w:left="576"/>
    </w:pPr>
    <w:rPr>
      <w:rFonts w:ascii="Arial Narrow" w:hAnsi="Arial Narrow" w:cstheme="minorHAnsi"/>
      <w:iCs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after="0"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after="0" w:line="240" w:lineRule="auto"/>
      <w:contextualSpacing/>
    </w:pPr>
    <w:rPr>
      <w:rFonts w:asciiTheme="minorHAnsi" w:hAnsiTheme="minorHAnsi" w:eastAsia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13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13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0D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0D80"/>
    <w:rPr>
      <w:rFonts w:ascii="Arial" w:hAnsi="Arial" w:cs="Times New Roman" w:eastAsiaTheme="minorEastAs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0D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0D80"/>
    <w:rPr>
      <w:rFonts w:ascii="Arial" w:hAnsi="Arial" w:cs="Times New Roman" w:eastAsiaTheme="minorEastAs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91EEC713-B2C8-4105-AAE4-C86C0DEEB216}"/>
</file>

<file path=customXml/itemProps2.xml><?xml version="1.0" encoding="utf-8"?>
<ds:datastoreItem xmlns:ds="http://schemas.openxmlformats.org/officeDocument/2006/customXml" ds:itemID="{78F705A0-A73A-4141-B35D-F43332203472}"/>
</file>

<file path=customXml/itemProps3.xml><?xml version="1.0" encoding="utf-8"?>
<ds:datastoreItem xmlns:ds="http://schemas.openxmlformats.org/officeDocument/2006/customXml" ds:itemID="{93F89361-7676-467F-8DDE-B2F80528D0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8</cp:revision>
  <dcterms:created xsi:type="dcterms:W3CDTF">2023-10-24T17:19:00Z</dcterms:created>
  <dcterms:modified xsi:type="dcterms:W3CDTF">2025-04-08T16:21:07Z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